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1900E98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247D4">
        <w:rPr>
          <w:rFonts w:ascii="Palemonas" w:hAnsi="Palemonas"/>
          <w:b/>
          <w:sz w:val="32"/>
          <w:szCs w:val="32"/>
        </w:rPr>
        <w:t>1</w:t>
      </w:r>
      <w:r w:rsidR="00FC79A8">
        <w:rPr>
          <w:rFonts w:ascii="Palemonas" w:hAnsi="Palemonas"/>
          <w:b/>
          <w:sz w:val="32"/>
          <w:szCs w:val="32"/>
        </w:rPr>
        <w:t>2</w:t>
      </w:r>
      <w:r w:rsidR="006E7473">
        <w:rPr>
          <w:rFonts w:ascii="Palemonas" w:hAnsi="Palemonas"/>
          <w:b/>
          <w:sz w:val="32"/>
          <w:szCs w:val="32"/>
        </w:rPr>
        <w:t>-</w:t>
      </w:r>
      <w:r w:rsidR="00A54CC5">
        <w:rPr>
          <w:rFonts w:ascii="Palemonas" w:hAnsi="Palemonas"/>
          <w:b/>
          <w:sz w:val="32"/>
          <w:szCs w:val="32"/>
        </w:rPr>
        <w:t>15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0F3F6FFC" w:rsidR="006E7473" w:rsidRPr="00B07886" w:rsidRDefault="00FC79A8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UAB „</w:t>
            </w:r>
            <w:r w:rsidR="00A54CC5">
              <w:rPr>
                <w:rFonts w:ascii="Palemonas" w:hAnsi="Palemonas" w:cs="TimesNewRomanPS-BoldMT"/>
                <w:bCs/>
              </w:rPr>
              <w:t>City home</w:t>
            </w:r>
            <w:r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14:paraId="7034C831" w14:textId="77C64AD1" w:rsidR="006E7473" w:rsidRPr="006E7473" w:rsidRDefault="00A54CC5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A54CC5">
              <w:rPr>
                <w:rFonts w:ascii="Palemonas" w:hAnsi="Palemonas"/>
                <w:bCs/>
              </w:rPr>
              <w:t>Žemės sklypo Ajerų g. 2, Palangoje, detaliojo plano, patvirtinto 2009 m. lapkričio 12 d. Palangos miesto tarybos sprendimu Nr. T2-286, koregavimas supaprastinta tvarka (koreguojamos automobilių parkavimo vietos)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367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2021-12-01T07:57:00Z</cp:lastPrinted>
  <dcterms:created xsi:type="dcterms:W3CDTF">2021-12-07T13:03:00Z</dcterms:created>
  <dcterms:modified xsi:type="dcterms:W3CDTF">2021-12-07T13:09:00Z</dcterms:modified>
</cp:coreProperties>
</file>