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6468DD85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EB50DA">
        <w:rPr>
          <w:rFonts w:ascii="Palemonas" w:hAnsi="Palemonas"/>
          <w:b/>
          <w:sz w:val="32"/>
          <w:szCs w:val="32"/>
        </w:rPr>
        <w:t>12</w:t>
      </w:r>
      <w:r w:rsidR="00672C3E">
        <w:rPr>
          <w:rFonts w:ascii="Palemonas" w:hAnsi="Palemonas"/>
          <w:b/>
          <w:sz w:val="32"/>
          <w:szCs w:val="32"/>
        </w:rPr>
        <w:t>-</w:t>
      </w:r>
      <w:r w:rsidR="00EB50DA">
        <w:rPr>
          <w:rFonts w:ascii="Palemonas" w:hAnsi="Palemonas"/>
          <w:b/>
          <w:sz w:val="32"/>
          <w:szCs w:val="32"/>
        </w:rPr>
        <w:t>0</w:t>
      </w:r>
      <w:r w:rsidR="00B930B3">
        <w:rPr>
          <w:rFonts w:ascii="Palemonas" w:hAnsi="Palemonas"/>
          <w:b/>
          <w:sz w:val="32"/>
          <w:szCs w:val="32"/>
        </w:rPr>
        <w:t>9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536"/>
        <w:gridCol w:w="1672"/>
      </w:tblGrid>
      <w:tr w:rsidR="0064686D" w:rsidRPr="00D47979" w14:paraId="5562A69F" w14:textId="77777777" w:rsidTr="00B930B3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536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672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B930B3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7FDEE1E5" w:rsidR="006B0D7C" w:rsidRPr="00216715" w:rsidRDefault="00B930B3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S</w:t>
            </w:r>
            <w:r w:rsidR="00744A4D"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0E3897">
              <w:rPr>
                <w:rFonts w:ascii="TimesNewRomanPS-BoldMT" w:hAnsi="TimesNewRomanPS-BoldMT" w:cs="TimesNewRomanPS-BoldMT"/>
                <w:bCs/>
              </w:rPr>
              <w:t>M</w:t>
            </w:r>
            <w:r w:rsidR="00EB50DA">
              <w:rPr>
                <w:rFonts w:ascii="TimesNewRomanPS-BoldMT" w:hAnsi="TimesNewRomanPS-BoldMT" w:cs="TimesNewRomanPS-BoldMT"/>
                <w:bCs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15C64CB4" w14:textId="4594E3D8" w:rsidR="006B0D7C" w:rsidRPr="00794F99" w:rsidRDefault="00B930B3" w:rsidP="00EB50DA">
            <w:pPr>
              <w:rPr>
                <w:rFonts w:ascii="Palemonas" w:hAnsi="Palemonas"/>
              </w:rPr>
            </w:pPr>
            <w:r w:rsidRPr="00B930B3">
              <w:rPr>
                <w:rFonts w:ascii="Palemonas" w:hAnsi="Palemonas"/>
              </w:rPr>
              <w:t>Žemės sklypo, kurio kadastrinis Nr. 2501/0041:87, Palangoje, detaliojo plano, patvirtinto Palangos miesto tarybos 2010 m. rugpjūčio 19 d. sprendimu T2-260 koregavimas techninio projekto rengimo metu žemės sklype Didžioji g. 166, Palanga (koreguojama statybos riba ir zona)</w:t>
            </w:r>
          </w:p>
        </w:tc>
        <w:tc>
          <w:tcPr>
            <w:tcW w:w="1672" w:type="dxa"/>
            <w:shd w:val="clear" w:color="auto" w:fill="auto"/>
          </w:tcPr>
          <w:p w14:paraId="73794B7C" w14:textId="26071AC0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</w:p>
        </w:tc>
      </w:tr>
    </w:tbl>
    <w:p w14:paraId="69C3131E" w14:textId="77777777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77777777" w:rsidR="00CC19F2" w:rsidRDefault="00CC19F2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2020-03-03T08:27:00Z</cp:lastPrinted>
  <dcterms:created xsi:type="dcterms:W3CDTF">2020-12-02T10:11:00Z</dcterms:created>
  <dcterms:modified xsi:type="dcterms:W3CDTF">2020-12-02T10:13:00Z</dcterms:modified>
</cp:coreProperties>
</file>